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ED4A" w14:textId="1F21B54E" w:rsidR="002855C2" w:rsidRPr="008A43A0" w:rsidRDefault="008A43A0" w:rsidP="00D94627">
      <w:pPr>
        <w:pStyle w:val="Body1"/>
        <w:jc w:val="both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352E2D" wp14:editId="1E4DB899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51aaw511Z1L._SY34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aaw511Z1L._SY344_BO1,204,203,20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85" w:rsidRPr="008A43A0">
        <w:rPr>
          <w:rFonts w:asciiTheme="majorHAnsi" w:hAnsiTheme="majorHAnsi"/>
          <w:i/>
          <w:smallCaps/>
          <w:color w:val="auto"/>
          <w:sz w:val="22"/>
          <w:szCs w:val="22"/>
        </w:rPr>
        <w:t>Washed and Waiting</w:t>
      </w:r>
    </w:p>
    <w:p w14:paraId="053F15F0" w14:textId="77777777" w:rsidR="002855C2" w:rsidRPr="008A43A0" w:rsidRDefault="002855C2" w:rsidP="00D94627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135D304F" w14:textId="277C4739" w:rsidR="002855C2" w:rsidRPr="008A43A0" w:rsidRDefault="00D86773" w:rsidP="00D94627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  <w:r w:rsidRPr="008A43A0">
        <w:rPr>
          <w:rFonts w:asciiTheme="majorHAnsi" w:hAnsiTheme="majorHAnsi"/>
          <w:color w:val="auto"/>
          <w:sz w:val="22"/>
          <w:szCs w:val="22"/>
        </w:rPr>
        <w:t xml:space="preserve">Wesley Hill, </w:t>
      </w:r>
      <w:hyperlink r:id="rId7" w:history="1">
        <w:r w:rsidRPr="008A43A0">
          <w:rPr>
            <w:rStyle w:val="Hyperlink"/>
            <w:rFonts w:asciiTheme="majorHAnsi" w:hAnsiTheme="majorHAnsi"/>
            <w:i/>
            <w:sz w:val="22"/>
            <w:szCs w:val="22"/>
          </w:rPr>
          <w:t>Washed and Waiting: Reflections on Christian Faithfulness and Homosexuality</w:t>
        </w:r>
      </w:hyperlink>
      <w:r w:rsidRPr="008A43A0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Pr="008A43A0">
        <w:rPr>
          <w:rFonts w:asciiTheme="majorHAnsi" w:hAnsiTheme="majorHAnsi"/>
          <w:color w:val="auto"/>
          <w:sz w:val="22"/>
          <w:szCs w:val="22"/>
        </w:rPr>
        <w:t>(Grand Rapids: Zondervan, 2010).</w:t>
      </w:r>
    </w:p>
    <w:p w14:paraId="6A50C9D5" w14:textId="77777777" w:rsidR="00D86773" w:rsidRPr="008A43A0" w:rsidRDefault="00D86773" w:rsidP="00D94627">
      <w:pPr>
        <w:pStyle w:val="Body1"/>
        <w:jc w:val="both"/>
        <w:rPr>
          <w:rFonts w:asciiTheme="majorHAnsi" w:hAnsiTheme="majorHAnsi"/>
          <w:i/>
          <w:color w:val="auto"/>
          <w:sz w:val="22"/>
          <w:szCs w:val="22"/>
        </w:rPr>
      </w:pPr>
    </w:p>
    <w:p w14:paraId="79130543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69BDCEE1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8A43A0">
        <w:rPr>
          <w:rFonts w:asciiTheme="majorHAnsi" w:hAnsiTheme="majorHAnsi"/>
          <w:b w:val="0"/>
          <w:sz w:val="22"/>
          <w:szCs w:val="22"/>
        </w:rPr>
        <w:t>:</w:t>
      </w:r>
    </w:p>
    <w:p w14:paraId="31B66B2D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E3A643B" w14:textId="1A9F21F1" w:rsidR="002855C2" w:rsidRPr="008A43A0" w:rsidRDefault="0030363F" w:rsidP="00D94627">
      <w:p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“By the time I started high </w:t>
      </w:r>
      <w:proofErr w:type="gramStart"/>
      <w:r w:rsidRPr="008A43A0">
        <w:rPr>
          <w:rFonts w:asciiTheme="majorHAnsi" w:hAnsiTheme="majorHAnsi"/>
          <w:b w:val="0"/>
          <w:sz w:val="22"/>
          <w:szCs w:val="22"/>
        </w:rPr>
        <w:t>school,</w:t>
      </w:r>
      <w:proofErr w:type="gramEnd"/>
      <w:r w:rsidRPr="008A43A0">
        <w:rPr>
          <w:rFonts w:asciiTheme="majorHAnsi" w:hAnsiTheme="majorHAnsi"/>
          <w:b w:val="0"/>
          <w:sz w:val="22"/>
          <w:szCs w:val="22"/>
        </w:rPr>
        <w:t xml:space="preserve"> two things had become clear to me. One was that I was a Christian…. The second thing was that I was gay.” And </w:t>
      </w:r>
      <w:r w:rsidR="00EB020A" w:rsidRPr="008A43A0">
        <w:rPr>
          <w:rFonts w:asciiTheme="majorHAnsi" w:hAnsiTheme="majorHAnsi"/>
          <w:b w:val="0"/>
          <w:sz w:val="22"/>
          <w:szCs w:val="22"/>
        </w:rPr>
        <w:t xml:space="preserve">so begins Wesley Hill’s memoir that chronicles his journey as a “celibate gay Christian.” Wes Hill achieves </w:t>
      </w:r>
      <w:r w:rsidR="00C42A15" w:rsidRPr="008A43A0">
        <w:rPr>
          <w:rFonts w:asciiTheme="majorHAnsi" w:hAnsiTheme="majorHAnsi"/>
          <w:b w:val="0"/>
          <w:sz w:val="22"/>
          <w:szCs w:val="22"/>
        </w:rPr>
        <w:t>a great deal</w:t>
      </w:r>
      <w:r w:rsidR="00EB020A" w:rsidRPr="008A43A0">
        <w:rPr>
          <w:rFonts w:asciiTheme="majorHAnsi" w:hAnsiTheme="majorHAnsi"/>
          <w:b w:val="0"/>
          <w:sz w:val="22"/>
          <w:szCs w:val="22"/>
        </w:rPr>
        <w:t xml:space="preserve"> for a book barely more th</w:t>
      </w:r>
      <w:bookmarkStart w:id="4" w:name="_GoBack"/>
      <w:bookmarkEnd w:id="4"/>
      <w:r w:rsidR="00EB020A" w:rsidRPr="008A43A0">
        <w:rPr>
          <w:rFonts w:asciiTheme="majorHAnsi" w:hAnsiTheme="majorHAnsi"/>
          <w:b w:val="0"/>
          <w:sz w:val="22"/>
          <w:szCs w:val="22"/>
        </w:rPr>
        <w:t xml:space="preserve">an 150 pages. There is autobiography, </w:t>
      </w:r>
      <w:r w:rsidR="00E55905" w:rsidRPr="008A43A0">
        <w:rPr>
          <w:rFonts w:asciiTheme="majorHAnsi" w:hAnsiTheme="majorHAnsi"/>
          <w:b w:val="0"/>
          <w:sz w:val="22"/>
          <w:szCs w:val="22"/>
        </w:rPr>
        <w:t>references to literature</w:t>
      </w:r>
      <w:r w:rsidR="00EB020A" w:rsidRPr="008A43A0">
        <w:rPr>
          <w:rFonts w:asciiTheme="majorHAnsi" w:hAnsiTheme="majorHAnsi"/>
          <w:b w:val="0"/>
          <w:sz w:val="22"/>
          <w:szCs w:val="22"/>
        </w:rPr>
        <w:t>, Scriptural exegesis, and a prophetic charge for the Christian church to change its practice</w:t>
      </w:r>
      <w:r w:rsidR="00C42A15" w:rsidRPr="008A43A0">
        <w:rPr>
          <w:rFonts w:asciiTheme="majorHAnsi" w:hAnsiTheme="majorHAnsi"/>
          <w:b w:val="0"/>
          <w:sz w:val="22"/>
          <w:szCs w:val="22"/>
        </w:rPr>
        <w:t>s</w:t>
      </w:r>
      <w:r w:rsidR="00EB020A" w:rsidRPr="008A43A0">
        <w:rPr>
          <w:rFonts w:asciiTheme="majorHAnsi" w:hAnsiTheme="majorHAnsi"/>
          <w:b w:val="0"/>
          <w:sz w:val="22"/>
          <w:szCs w:val="22"/>
        </w:rPr>
        <w:t xml:space="preserve"> and attitude toward individuals </w:t>
      </w:r>
      <w:r w:rsidR="00C42A15" w:rsidRPr="008A43A0">
        <w:rPr>
          <w:rFonts w:asciiTheme="majorHAnsi" w:hAnsiTheme="majorHAnsi"/>
          <w:b w:val="0"/>
          <w:sz w:val="22"/>
          <w:szCs w:val="22"/>
        </w:rPr>
        <w:t xml:space="preserve">struggling with </w:t>
      </w:r>
      <w:r w:rsidR="00EB020A" w:rsidRPr="008A43A0">
        <w:rPr>
          <w:rFonts w:asciiTheme="majorHAnsi" w:hAnsiTheme="majorHAnsi"/>
          <w:b w:val="0"/>
          <w:sz w:val="22"/>
          <w:szCs w:val="22"/>
        </w:rPr>
        <w:t>same-sex at</w:t>
      </w:r>
      <w:r w:rsidR="00C42A15" w:rsidRPr="008A43A0">
        <w:rPr>
          <w:rFonts w:asciiTheme="majorHAnsi" w:hAnsiTheme="majorHAnsi"/>
          <w:b w:val="0"/>
          <w:sz w:val="22"/>
          <w:szCs w:val="22"/>
        </w:rPr>
        <w:t>traction</w:t>
      </w:r>
      <w:r w:rsidR="00EB020A" w:rsidRPr="008A43A0">
        <w:rPr>
          <w:rFonts w:asciiTheme="majorHAnsi" w:hAnsiTheme="majorHAnsi"/>
          <w:b w:val="0"/>
          <w:sz w:val="22"/>
          <w:szCs w:val="22"/>
        </w:rPr>
        <w:t xml:space="preserve"> (SSA).</w:t>
      </w:r>
      <w:r w:rsidR="00553A57" w:rsidRPr="008A43A0">
        <w:rPr>
          <w:rFonts w:asciiTheme="majorHAnsi" w:hAnsiTheme="majorHAnsi"/>
          <w:b w:val="0"/>
          <w:sz w:val="22"/>
          <w:szCs w:val="22"/>
        </w:rPr>
        <w:t xml:space="preserve"> Hill takes an orthodox stance, stating that homosexual sex do</w:t>
      </w:r>
      <w:r w:rsidR="00E55905" w:rsidRPr="008A43A0">
        <w:rPr>
          <w:rFonts w:asciiTheme="majorHAnsi" w:hAnsiTheme="majorHAnsi"/>
          <w:b w:val="0"/>
          <w:sz w:val="22"/>
          <w:szCs w:val="22"/>
        </w:rPr>
        <w:t>es</w:t>
      </w:r>
      <w:r w:rsidR="00553A57" w:rsidRPr="008A43A0">
        <w:rPr>
          <w:rFonts w:asciiTheme="majorHAnsi" w:hAnsiTheme="majorHAnsi"/>
          <w:b w:val="0"/>
          <w:sz w:val="22"/>
          <w:szCs w:val="22"/>
        </w:rPr>
        <w:t xml:space="preserve"> not align with God’s commands in Scripture. But he goes beyond just condemnation, for Hill speaks as a compassionate insider, giving hope to the celibate, the single, the abstinent, the lonely</w:t>
      </w:r>
      <w:r w:rsidR="0057361F" w:rsidRPr="008A43A0">
        <w:rPr>
          <w:rFonts w:asciiTheme="majorHAnsi" w:hAnsiTheme="majorHAnsi"/>
          <w:b w:val="0"/>
          <w:sz w:val="22"/>
          <w:szCs w:val="22"/>
        </w:rPr>
        <w:t>, and the shamed</w:t>
      </w:r>
      <w:r w:rsidR="00553A57" w:rsidRPr="008A43A0">
        <w:rPr>
          <w:rFonts w:asciiTheme="majorHAnsi" w:hAnsiTheme="majorHAnsi"/>
          <w:b w:val="0"/>
          <w:sz w:val="22"/>
          <w:szCs w:val="22"/>
        </w:rPr>
        <w:t>. The st</w:t>
      </w:r>
      <w:r w:rsidR="00C42A15" w:rsidRPr="008A43A0">
        <w:rPr>
          <w:rFonts w:asciiTheme="majorHAnsi" w:hAnsiTheme="majorHAnsi"/>
          <w:b w:val="0"/>
          <w:sz w:val="22"/>
          <w:szCs w:val="22"/>
        </w:rPr>
        <w:t xml:space="preserve">ance of his book is bolder than </w:t>
      </w:r>
      <w:r w:rsidR="00553A57" w:rsidRPr="008A43A0">
        <w:rPr>
          <w:rFonts w:asciiTheme="majorHAnsi" w:hAnsiTheme="majorHAnsi"/>
          <w:b w:val="0"/>
          <w:sz w:val="22"/>
          <w:szCs w:val="22"/>
        </w:rPr>
        <w:t xml:space="preserve">“love the </w:t>
      </w:r>
      <w:r w:rsidR="00AB35D1" w:rsidRPr="008A43A0">
        <w:rPr>
          <w:rFonts w:asciiTheme="majorHAnsi" w:hAnsiTheme="majorHAnsi"/>
          <w:b w:val="0"/>
          <w:sz w:val="22"/>
          <w:szCs w:val="22"/>
        </w:rPr>
        <w:t>sinner, hate the sin”; h</w:t>
      </w:r>
      <w:r w:rsidR="000B2D64" w:rsidRPr="008A43A0">
        <w:rPr>
          <w:rFonts w:asciiTheme="majorHAnsi" w:hAnsiTheme="majorHAnsi"/>
          <w:b w:val="0"/>
          <w:sz w:val="22"/>
          <w:szCs w:val="22"/>
        </w:rPr>
        <w:t xml:space="preserve">e explores the ways in which SSA relates to faith, desire, the church, and relationships. </w:t>
      </w:r>
    </w:p>
    <w:p w14:paraId="6123FED4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CF3EB39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7493CC3C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8A43A0">
        <w:rPr>
          <w:rFonts w:asciiTheme="majorHAnsi" w:hAnsiTheme="majorHAnsi"/>
          <w:b w:val="0"/>
          <w:sz w:val="22"/>
          <w:szCs w:val="22"/>
        </w:rPr>
        <w:t>:</w:t>
      </w:r>
    </w:p>
    <w:p w14:paraId="650F1487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0E936D44" w14:textId="7F8A0DCC" w:rsidR="002855C2" w:rsidRPr="008A43A0" w:rsidRDefault="000B2D64" w:rsidP="00D9462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Prose and poetry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. Hill rarely makes a claim without grounding it in a novel or poem, and this helps to soften and deepen his views, making them more relatable. </w:t>
      </w:r>
    </w:p>
    <w:p w14:paraId="65BE8C45" w14:textId="5168D8E4" w:rsidR="00B1470E" w:rsidRPr="008A43A0" w:rsidRDefault="00B1470E" w:rsidP="00D9462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Exegesis</w:t>
      </w:r>
      <w:r w:rsidRPr="008A43A0">
        <w:rPr>
          <w:rFonts w:asciiTheme="majorHAnsi" w:hAnsiTheme="majorHAnsi"/>
          <w:b w:val="0"/>
          <w:sz w:val="22"/>
          <w:szCs w:val="22"/>
        </w:rPr>
        <w:t>.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</w:t>
      </w:r>
      <w:r w:rsidR="0057361F" w:rsidRPr="008A43A0">
        <w:rPr>
          <w:rFonts w:asciiTheme="majorHAnsi" w:hAnsiTheme="majorHAnsi"/>
          <w:b w:val="0"/>
          <w:sz w:val="22"/>
          <w:szCs w:val="22"/>
        </w:rPr>
        <w:t xml:space="preserve">He examines many </w:t>
      </w:r>
      <w:r w:rsidR="0030363F" w:rsidRPr="008A43A0">
        <w:rPr>
          <w:rFonts w:asciiTheme="majorHAnsi" w:hAnsiTheme="majorHAnsi"/>
          <w:b w:val="0"/>
          <w:sz w:val="22"/>
          <w:szCs w:val="22"/>
        </w:rPr>
        <w:t>specific passages</w:t>
      </w:r>
      <w:r w:rsidR="0057361F" w:rsidRPr="008A43A0">
        <w:rPr>
          <w:rFonts w:asciiTheme="majorHAnsi" w:hAnsiTheme="majorHAnsi"/>
          <w:b w:val="0"/>
          <w:sz w:val="22"/>
          <w:szCs w:val="22"/>
        </w:rPr>
        <w:t xml:space="preserve"> </w:t>
      </w:r>
      <w:r w:rsidR="003A59E5" w:rsidRPr="008A43A0">
        <w:rPr>
          <w:rFonts w:asciiTheme="majorHAnsi" w:hAnsiTheme="majorHAnsi"/>
          <w:b w:val="0"/>
          <w:sz w:val="22"/>
          <w:szCs w:val="22"/>
        </w:rPr>
        <w:t xml:space="preserve">(Rom 1:18-32; 1 </w:t>
      </w:r>
      <w:proofErr w:type="spellStart"/>
      <w:r w:rsidR="003A59E5" w:rsidRPr="008A43A0">
        <w:rPr>
          <w:rFonts w:asciiTheme="majorHAnsi" w:hAnsiTheme="majorHAnsi"/>
          <w:b w:val="0"/>
          <w:sz w:val="22"/>
          <w:szCs w:val="22"/>
        </w:rPr>
        <w:t>Cor</w:t>
      </w:r>
      <w:proofErr w:type="spellEnd"/>
      <w:r w:rsidR="003A59E5" w:rsidRPr="008A43A0">
        <w:rPr>
          <w:rFonts w:asciiTheme="majorHAnsi" w:hAnsiTheme="majorHAnsi"/>
          <w:b w:val="0"/>
          <w:sz w:val="22"/>
          <w:szCs w:val="22"/>
        </w:rPr>
        <w:t xml:space="preserve"> 6:9-10; 1 Tim 1:8-11</w:t>
      </w:r>
      <w:r w:rsidR="0030363F" w:rsidRPr="008A43A0">
        <w:rPr>
          <w:rFonts w:asciiTheme="majorHAnsi" w:hAnsiTheme="majorHAnsi"/>
          <w:b w:val="0"/>
          <w:sz w:val="22"/>
          <w:szCs w:val="22"/>
        </w:rPr>
        <w:t>) but</w:t>
      </w:r>
      <w:r w:rsidR="0057361F" w:rsidRPr="008A43A0">
        <w:rPr>
          <w:rFonts w:asciiTheme="majorHAnsi" w:hAnsiTheme="majorHAnsi"/>
          <w:b w:val="0"/>
          <w:sz w:val="22"/>
          <w:szCs w:val="22"/>
        </w:rPr>
        <w:t xml:space="preserve"> then also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relates </w:t>
      </w:r>
      <w:r w:rsidR="0057361F" w:rsidRPr="008A43A0">
        <w:rPr>
          <w:rFonts w:asciiTheme="majorHAnsi" w:hAnsiTheme="majorHAnsi"/>
          <w:b w:val="0"/>
          <w:sz w:val="22"/>
          <w:szCs w:val="22"/>
        </w:rPr>
        <w:t>them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to the “context of a grand nar</w:t>
      </w:r>
      <w:r w:rsidR="0057361F" w:rsidRPr="008A43A0">
        <w:rPr>
          <w:rFonts w:asciiTheme="majorHAnsi" w:hAnsiTheme="majorHAnsi"/>
          <w:b w:val="0"/>
          <w:sz w:val="22"/>
          <w:szCs w:val="22"/>
        </w:rPr>
        <w:t>rative</w:t>
      </w:r>
      <w:r w:rsidR="0030363F" w:rsidRPr="008A43A0">
        <w:rPr>
          <w:rFonts w:asciiTheme="majorHAnsi" w:hAnsiTheme="majorHAnsi"/>
          <w:b w:val="0"/>
          <w:sz w:val="22"/>
          <w:szCs w:val="22"/>
        </w:rPr>
        <w:t>”</w:t>
      </w:r>
      <w:r w:rsidR="0057361F" w:rsidRPr="008A43A0">
        <w:rPr>
          <w:rFonts w:asciiTheme="majorHAnsi" w:hAnsiTheme="majorHAnsi"/>
          <w:b w:val="0"/>
          <w:sz w:val="22"/>
          <w:szCs w:val="22"/>
        </w:rPr>
        <w:t xml:space="preserve"> in Scripture. </w:t>
      </w:r>
    </w:p>
    <w:p w14:paraId="6999BC18" w14:textId="53371C04" w:rsidR="00B1470E" w:rsidRPr="008A43A0" w:rsidRDefault="00B1470E" w:rsidP="00D9462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Story</w:t>
      </w:r>
      <w:r w:rsidRPr="008A43A0">
        <w:rPr>
          <w:rFonts w:asciiTheme="majorHAnsi" w:hAnsiTheme="majorHAnsi"/>
          <w:b w:val="0"/>
          <w:sz w:val="22"/>
          <w:szCs w:val="22"/>
        </w:rPr>
        <w:t>.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</w:t>
      </w:r>
      <w:r w:rsidR="0057361F" w:rsidRPr="008A43A0">
        <w:rPr>
          <w:rFonts w:asciiTheme="majorHAnsi" w:hAnsiTheme="majorHAnsi"/>
          <w:b w:val="0"/>
          <w:sz w:val="22"/>
          <w:szCs w:val="22"/>
        </w:rPr>
        <w:t>W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hat convinces </w:t>
      </w:r>
      <w:r w:rsidR="0057361F" w:rsidRPr="008A43A0">
        <w:rPr>
          <w:rFonts w:asciiTheme="majorHAnsi" w:hAnsiTheme="majorHAnsi"/>
          <w:b w:val="0"/>
          <w:sz w:val="22"/>
          <w:szCs w:val="22"/>
        </w:rPr>
        <w:t>Hill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that acting on his homosexual desires is wrong is not individual passages of Scripture, but </w:t>
      </w:r>
      <w:r w:rsidR="00A51B95" w:rsidRPr="008A43A0">
        <w:rPr>
          <w:rFonts w:asciiTheme="majorHAnsi" w:hAnsiTheme="majorHAnsi"/>
          <w:b w:val="0"/>
          <w:sz w:val="22"/>
          <w:szCs w:val="22"/>
        </w:rPr>
        <w:t>that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 those passages fit into Scripture’s story of what God is doing in Jesus Christ. </w:t>
      </w:r>
    </w:p>
    <w:p w14:paraId="684C72F9" w14:textId="54250E55" w:rsidR="00B1470E" w:rsidRPr="008A43A0" w:rsidRDefault="00D9771E" w:rsidP="00D9771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Singleness/Celibacy/</w:t>
      </w:r>
      <w:r w:rsidR="00B1470E" w:rsidRPr="008A43A0">
        <w:rPr>
          <w:rFonts w:asciiTheme="majorHAnsi" w:hAnsiTheme="majorHAnsi"/>
          <w:sz w:val="22"/>
          <w:szCs w:val="22"/>
        </w:rPr>
        <w:t>Loneliness</w:t>
      </w:r>
      <w:r w:rsidR="00B1470E" w:rsidRPr="008A43A0">
        <w:rPr>
          <w:rFonts w:asciiTheme="majorHAnsi" w:hAnsiTheme="majorHAnsi"/>
          <w:b w:val="0"/>
          <w:sz w:val="22"/>
          <w:szCs w:val="22"/>
        </w:rPr>
        <w:t>.</w:t>
      </w:r>
      <w:r w:rsidR="00384609" w:rsidRPr="008A43A0">
        <w:rPr>
          <w:rFonts w:asciiTheme="majorHAnsi" w:hAnsiTheme="majorHAnsi"/>
          <w:b w:val="0"/>
          <w:sz w:val="22"/>
          <w:szCs w:val="22"/>
        </w:rPr>
        <w:t xml:space="preserve"> The remedy is “to feel God’s keeping presence embodied in the human members of the community of faith, the church.”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 But one must also feel the pain of loneliness: “</w:t>
      </w:r>
      <w:r w:rsidR="00384609" w:rsidRPr="008A43A0">
        <w:rPr>
          <w:rFonts w:asciiTheme="majorHAnsi" w:hAnsiTheme="majorHAnsi"/>
          <w:b w:val="0"/>
          <w:sz w:val="22"/>
          <w:szCs w:val="22"/>
        </w:rPr>
        <w:t>Groaning is a sign of my fidelity.”</w:t>
      </w:r>
    </w:p>
    <w:p w14:paraId="4A83FCF3" w14:textId="1A6AC5F0" w:rsidR="00553ABF" w:rsidRPr="008A43A0" w:rsidRDefault="00553ABF" w:rsidP="00D9462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Temptation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. </w:t>
      </w:r>
      <w:r w:rsidR="0030363F" w:rsidRPr="008A43A0">
        <w:rPr>
          <w:rFonts w:asciiTheme="majorHAnsi" w:hAnsiTheme="majorHAnsi"/>
          <w:b w:val="0"/>
          <w:sz w:val="22"/>
          <w:szCs w:val="22"/>
        </w:rPr>
        <w:t xml:space="preserve">By not giving into the temptation to act on his desires, he states, “I became </w:t>
      </w:r>
      <w:r w:rsidR="0030363F" w:rsidRPr="008A43A0">
        <w:rPr>
          <w:rFonts w:asciiTheme="majorHAnsi" w:hAnsiTheme="majorHAnsi"/>
          <w:b w:val="0"/>
          <w:i/>
          <w:sz w:val="22"/>
          <w:szCs w:val="22"/>
        </w:rPr>
        <w:t xml:space="preserve">more </w:t>
      </w:r>
      <w:r w:rsidR="0030363F" w:rsidRPr="008A43A0">
        <w:rPr>
          <w:rFonts w:asciiTheme="majorHAnsi" w:hAnsiTheme="majorHAnsi"/>
          <w:b w:val="0"/>
          <w:sz w:val="22"/>
          <w:szCs w:val="22"/>
        </w:rPr>
        <w:t>fully alive, not less.”</w:t>
      </w:r>
    </w:p>
    <w:p w14:paraId="0E1D378B" w14:textId="50D37CC7" w:rsidR="00384609" w:rsidRPr="008A43A0" w:rsidRDefault="00384609" w:rsidP="00D9462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sz w:val="22"/>
          <w:szCs w:val="22"/>
        </w:rPr>
        <w:t>Sexual desire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. He locates the desire more in a “mutual desire” </w:t>
      </w:r>
      <w:r w:rsidR="0057361F" w:rsidRPr="008A43A0">
        <w:rPr>
          <w:rFonts w:asciiTheme="majorHAnsi" w:hAnsiTheme="majorHAnsi"/>
          <w:b w:val="0"/>
          <w:sz w:val="22"/>
          <w:szCs w:val="22"/>
        </w:rPr>
        <w:t xml:space="preserve">for relationships with others 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rather than solely or primarily a sexual/physical expression. </w:t>
      </w:r>
    </w:p>
    <w:p w14:paraId="48D38499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7592B294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8A43A0">
        <w:rPr>
          <w:rFonts w:asciiTheme="majorHAnsi" w:hAnsiTheme="majorHAnsi"/>
          <w:b w:val="0"/>
          <w:sz w:val="22"/>
          <w:szCs w:val="22"/>
        </w:rPr>
        <w:t>:</w:t>
      </w:r>
    </w:p>
    <w:p w14:paraId="17D9BF2B" w14:textId="77777777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78BD4629" w14:textId="77777777" w:rsidR="00857FEA" w:rsidRPr="008A43A0" w:rsidRDefault="00857FEA" w:rsidP="00857F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What is the significance of the book’s title, </w:t>
      </w:r>
      <w:r w:rsidRPr="008A43A0">
        <w:rPr>
          <w:rFonts w:asciiTheme="majorHAnsi" w:hAnsiTheme="majorHAnsi"/>
          <w:b w:val="0"/>
          <w:i/>
          <w:sz w:val="22"/>
          <w:szCs w:val="22"/>
        </w:rPr>
        <w:t>Washed and Waiting</w:t>
      </w:r>
      <w:r w:rsidRPr="008A43A0">
        <w:rPr>
          <w:rFonts w:asciiTheme="majorHAnsi" w:hAnsiTheme="majorHAnsi"/>
          <w:b w:val="0"/>
          <w:sz w:val="22"/>
          <w:szCs w:val="22"/>
        </w:rPr>
        <w:t>?</w:t>
      </w:r>
    </w:p>
    <w:p w14:paraId="136C9FBE" w14:textId="4938E9E1" w:rsidR="00857FEA" w:rsidRPr="008A43A0" w:rsidRDefault="00857FEA" w:rsidP="00857F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Hill insists on calling himself a “celibate gay Christian.” Why or why not is this helpful? </w:t>
      </w:r>
    </w:p>
    <w:p w14:paraId="1787A193" w14:textId="3C2C1F12" w:rsidR="002855C2" w:rsidRPr="008A43A0" w:rsidRDefault="00857FEA" w:rsidP="00D946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>Wes Hill expounds even further on these issues in h</w:t>
      </w:r>
      <w:r w:rsidR="006604B0" w:rsidRPr="008A43A0">
        <w:rPr>
          <w:rFonts w:asciiTheme="majorHAnsi" w:hAnsiTheme="majorHAnsi"/>
          <w:b w:val="0"/>
          <w:sz w:val="22"/>
          <w:szCs w:val="22"/>
        </w:rPr>
        <w:t xml:space="preserve">is blog, </w:t>
      </w:r>
      <w:hyperlink r:id="rId8" w:history="1">
        <w:r w:rsidR="006604B0" w:rsidRPr="008A43A0">
          <w:rPr>
            <w:rStyle w:val="Hyperlink"/>
            <w:rFonts w:asciiTheme="majorHAnsi" w:hAnsiTheme="majorHAnsi"/>
            <w:b w:val="0"/>
            <w:sz w:val="22"/>
            <w:szCs w:val="22"/>
          </w:rPr>
          <w:t>Spiritual Friendship</w:t>
        </w:r>
      </w:hyperlink>
      <w:r w:rsidRPr="008A43A0">
        <w:rPr>
          <w:rFonts w:asciiTheme="majorHAnsi" w:hAnsiTheme="majorHAnsi"/>
          <w:b w:val="0"/>
          <w:sz w:val="22"/>
          <w:szCs w:val="22"/>
        </w:rPr>
        <w:t xml:space="preserve">, </w:t>
      </w:r>
      <w:r w:rsidR="00C42A15" w:rsidRPr="008A43A0">
        <w:rPr>
          <w:rFonts w:asciiTheme="majorHAnsi" w:hAnsiTheme="majorHAnsi"/>
          <w:b w:val="0"/>
          <w:sz w:val="22"/>
          <w:szCs w:val="22"/>
        </w:rPr>
        <w:t>a blog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 he began with friends of like mind. Are there posts from this blog with which you would disagree? Why?</w:t>
      </w:r>
    </w:p>
    <w:p w14:paraId="1750F2FF" w14:textId="5C1D0B54" w:rsidR="00421A53" w:rsidRPr="008A43A0" w:rsidRDefault="004603F3" w:rsidP="008A0F0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lastRenderedPageBreak/>
        <w:t>Hill quotes Dallas Willard, where Willard separates “[l]</w:t>
      </w:r>
      <w:proofErr w:type="spellStart"/>
      <w:r w:rsidRPr="008A43A0">
        <w:rPr>
          <w:rFonts w:asciiTheme="majorHAnsi" w:hAnsiTheme="majorHAnsi"/>
          <w:b w:val="0"/>
          <w:sz w:val="22"/>
          <w:szCs w:val="22"/>
        </w:rPr>
        <w:t>ooking</w:t>
      </w:r>
      <w:proofErr w:type="spellEnd"/>
      <w:r w:rsidRPr="008A43A0">
        <w:rPr>
          <w:rFonts w:asciiTheme="majorHAnsi" w:hAnsiTheme="majorHAnsi"/>
          <w:b w:val="0"/>
          <w:sz w:val="22"/>
          <w:szCs w:val="22"/>
        </w:rPr>
        <w:t xml:space="preserve"> </w:t>
      </w:r>
      <w:r w:rsidRPr="008A43A0">
        <w:rPr>
          <w:rFonts w:asciiTheme="majorHAnsi" w:hAnsiTheme="majorHAnsi"/>
          <w:b w:val="0"/>
          <w:i/>
          <w:sz w:val="22"/>
          <w:szCs w:val="22"/>
        </w:rPr>
        <w:t xml:space="preserve">and 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desiring” versus “looking </w:t>
      </w:r>
      <w:r w:rsidRPr="008A43A0">
        <w:rPr>
          <w:rFonts w:asciiTheme="majorHAnsi" w:hAnsiTheme="majorHAnsi"/>
          <w:b w:val="0"/>
          <w:i/>
          <w:sz w:val="22"/>
          <w:szCs w:val="22"/>
        </w:rPr>
        <w:t xml:space="preserve">to 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desire.” </w:t>
      </w:r>
      <w:r w:rsidR="008A0F0D" w:rsidRPr="008A43A0">
        <w:rPr>
          <w:rFonts w:asciiTheme="majorHAnsi" w:hAnsiTheme="majorHAnsi"/>
          <w:b w:val="0"/>
          <w:sz w:val="22"/>
          <w:szCs w:val="22"/>
        </w:rPr>
        <w:t xml:space="preserve">With regard to </w:t>
      </w:r>
      <w:r w:rsidR="00C42A15" w:rsidRPr="008A43A0">
        <w:rPr>
          <w:rFonts w:asciiTheme="majorHAnsi" w:hAnsiTheme="majorHAnsi"/>
          <w:b w:val="0"/>
          <w:sz w:val="22"/>
          <w:szCs w:val="22"/>
        </w:rPr>
        <w:t>SSA</w:t>
      </w:r>
      <w:r w:rsidR="008A0F0D" w:rsidRPr="008A43A0">
        <w:rPr>
          <w:rFonts w:asciiTheme="majorHAnsi" w:hAnsiTheme="majorHAnsi"/>
          <w:b w:val="0"/>
          <w:sz w:val="22"/>
          <w:szCs w:val="22"/>
        </w:rPr>
        <w:t xml:space="preserve"> (or really any sexual attraction), </w:t>
      </w:r>
      <w:r w:rsidR="00C42A15" w:rsidRPr="008A43A0">
        <w:rPr>
          <w:rFonts w:asciiTheme="majorHAnsi" w:hAnsiTheme="majorHAnsi"/>
          <w:b w:val="0"/>
          <w:sz w:val="22"/>
          <w:szCs w:val="22"/>
        </w:rPr>
        <w:t>are there</w:t>
      </w:r>
      <w:r w:rsidR="00553ABF" w:rsidRPr="008A43A0">
        <w:rPr>
          <w:rFonts w:asciiTheme="majorHAnsi" w:hAnsiTheme="majorHAnsi"/>
          <w:b w:val="0"/>
          <w:sz w:val="22"/>
          <w:szCs w:val="22"/>
        </w:rPr>
        <w:t xml:space="preserve"> difference</w:t>
      </w:r>
      <w:r w:rsidR="00C42A15" w:rsidRPr="008A43A0">
        <w:rPr>
          <w:rFonts w:asciiTheme="majorHAnsi" w:hAnsiTheme="majorHAnsi"/>
          <w:b w:val="0"/>
          <w:sz w:val="22"/>
          <w:szCs w:val="22"/>
        </w:rPr>
        <w:t>s</w:t>
      </w:r>
      <w:r w:rsidR="00553ABF" w:rsidRPr="008A43A0">
        <w:rPr>
          <w:rFonts w:asciiTheme="majorHAnsi" w:hAnsiTheme="majorHAnsi"/>
          <w:b w:val="0"/>
          <w:sz w:val="22"/>
          <w:szCs w:val="22"/>
        </w:rPr>
        <w:t xml:space="preserve"> between</w:t>
      </w:r>
      <w:r w:rsidR="008A0F0D" w:rsidRPr="008A43A0">
        <w:rPr>
          <w:rFonts w:asciiTheme="majorHAnsi" w:hAnsiTheme="majorHAnsi"/>
          <w:b w:val="0"/>
          <w:sz w:val="22"/>
          <w:szCs w:val="22"/>
        </w:rPr>
        <w:t xml:space="preserve"> action and attraction? </w:t>
      </w:r>
    </w:p>
    <w:p w14:paraId="29D23C99" w14:textId="2063DB94" w:rsidR="00384609" w:rsidRPr="008A43A0" w:rsidRDefault="00384609" w:rsidP="00D946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“[T]he New Testament views </w:t>
      </w:r>
      <w:r w:rsidRPr="008A43A0">
        <w:rPr>
          <w:rFonts w:asciiTheme="majorHAnsi" w:hAnsiTheme="majorHAnsi"/>
          <w:b w:val="0"/>
          <w:i/>
          <w:sz w:val="22"/>
          <w:szCs w:val="22"/>
        </w:rPr>
        <w:t>the church</w:t>
      </w:r>
      <w:r w:rsidRPr="008A43A0">
        <w:rPr>
          <w:rFonts w:asciiTheme="majorHAnsi" w:hAnsiTheme="majorHAnsi"/>
          <w:b w:val="0"/>
          <w:sz w:val="22"/>
          <w:szCs w:val="22"/>
        </w:rPr>
        <w:t>—rather than marriage—as the primary place where human love is best expressed and experienced.”</w:t>
      </w:r>
      <w:r w:rsidR="004603F3" w:rsidRPr="008A43A0">
        <w:rPr>
          <w:rFonts w:asciiTheme="majorHAnsi" w:hAnsiTheme="majorHAnsi"/>
          <w:b w:val="0"/>
          <w:sz w:val="22"/>
          <w:szCs w:val="22"/>
        </w:rPr>
        <w:t xml:space="preserve"> Is this correct? </w:t>
      </w:r>
    </w:p>
    <w:p w14:paraId="64E653FD" w14:textId="35E14142" w:rsidR="00095C5D" w:rsidRPr="008A43A0" w:rsidRDefault="00095C5D" w:rsidP="00D946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This book is </w:t>
      </w:r>
      <w:r w:rsidR="001230FC" w:rsidRPr="008A43A0">
        <w:rPr>
          <w:rFonts w:asciiTheme="majorHAnsi" w:hAnsiTheme="majorHAnsi"/>
          <w:b w:val="0"/>
          <w:sz w:val="22"/>
          <w:szCs w:val="22"/>
        </w:rPr>
        <w:t xml:space="preserve">applicable to and 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useful for </w:t>
      </w:r>
      <w:r w:rsidR="001230FC" w:rsidRPr="008A43A0">
        <w:rPr>
          <w:rFonts w:asciiTheme="majorHAnsi" w:hAnsiTheme="majorHAnsi"/>
          <w:b w:val="0"/>
          <w:sz w:val="22"/>
          <w:szCs w:val="22"/>
        </w:rPr>
        <w:t>individuals</w:t>
      </w:r>
      <w:r w:rsidRPr="008A43A0">
        <w:rPr>
          <w:rFonts w:asciiTheme="majorHAnsi" w:hAnsiTheme="majorHAnsi"/>
          <w:b w:val="0"/>
          <w:sz w:val="22"/>
          <w:szCs w:val="22"/>
        </w:rPr>
        <w:t xml:space="preserve"> fighting any sin or temptation, not just SSA. How?</w:t>
      </w:r>
    </w:p>
    <w:p w14:paraId="494E4CC8" w14:textId="63CF3CFF" w:rsidR="002855C2" w:rsidRPr="008A43A0" w:rsidRDefault="002855C2" w:rsidP="00D94627">
      <w:pPr>
        <w:jc w:val="both"/>
        <w:rPr>
          <w:rFonts w:asciiTheme="majorHAnsi" w:hAnsiTheme="majorHAnsi"/>
          <w:b w:val="0"/>
          <w:sz w:val="22"/>
          <w:szCs w:val="22"/>
        </w:rPr>
      </w:pPr>
      <w:r w:rsidRPr="008A43A0">
        <w:rPr>
          <w:rFonts w:asciiTheme="majorHAnsi" w:hAnsiTheme="majorHAnsi"/>
          <w:b w:val="0"/>
          <w:sz w:val="22"/>
          <w:szCs w:val="22"/>
        </w:rPr>
        <w:t xml:space="preserve"> </w:t>
      </w:r>
      <w:r w:rsidR="004603F3" w:rsidRPr="008A43A0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BE48054" w14:textId="77777777" w:rsidR="002855C2" w:rsidRPr="008A43A0" w:rsidRDefault="002855C2" w:rsidP="00D94627">
      <w:pPr>
        <w:jc w:val="both"/>
        <w:rPr>
          <w:rFonts w:asciiTheme="majorHAnsi" w:hAnsiTheme="majorHAnsi"/>
          <w:sz w:val="22"/>
          <w:szCs w:val="22"/>
        </w:rPr>
      </w:pPr>
    </w:p>
    <w:p w14:paraId="681BF107" w14:textId="77777777" w:rsidR="002855C2" w:rsidRPr="008A43A0" w:rsidRDefault="002855C2" w:rsidP="00D94627">
      <w:pPr>
        <w:jc w:val="both"/>
        <w:rPr>
          <w:rFonts w:asciiTheme="majorHAnsi" w:hAnsiTheme="majorHAnsi"/>
          <w:sz w:val="22"/>
          <w:szCs w:val="22"/>
        </w:rPr>
      </w:pPr>
    </w:p>
    <w:bookmarkEnd w:id="2"/>
    <w:bookmarkEnd w:id="3"/>
    <w:p w14:paraId="12FA8392" w14:textId="77777777" w:rsidR="000004E0" w:rsidRPr="008A43A0" w:rsidRDefault="000004E0" w:rsidP="00D94627">
      <w:pPr>
        <w:jc w:val="both"/>
        <w:rPr>
          <w:rFonts w:asciiTheme="majorHAnsi" w:hAnsiTheme="majorHAnsi"/>
          <w:sz w:val="22"/>
          <w:szCs w:val="22"/>
        </w:rPr>
      </w:pPr>
    </w:p>
    <w:sectPr w:rsidR="000004E0" w:rsidRPr="008A43A0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365"/>
    <w:multiLevelType w:val="hybridMultilevel"/>
    <w:tmpl w:val="E9F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91F"/>
    <w:multiLevelType w:val="hybridMultilevel"/>
    <w:tmpl w:val="2AB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2"/>
    <w:rsid w:val="000004E0"/>
    <w:rsid w:val="00094D56"/>
    <w:rsid w:val="00095C5D"/>
    <w:rsid w:val="000B2D64"/>
    <w:rsid w:val="001230FC"/>
    <w:rsid w:val="002855C2"/>
    <w:rsid w:val="0030363F"/>
    <w:rsid w:val="00384609"/>
    <w:rsid w:val="003A59E5"/>
    <w:rsid w:val="00421A53"/>
    <w:rsid w:val="004603F3"/>
    <w:rsid w:val="00553A57"/>
    <w:rsid w:val="00553ABF"/>
    <w:rsid w:val="005656AC"/>
    <w:rsid w:val="0057361F"/>
    <w:rsid w:val="006604B0"/>
    <w:rsid w:val="00857FEA"/>
    <w:rsid w:val="008A0F0D"/>
    <w:rsid w:val="008A43A0"/>
    <w:rsid w:val="00A51B95"/>
    <w:rsid w:val="00AB35D1"/>
    <w:rsid w:val="00B1470E"/>
    <w:rsid w:val="00BE3C85"/>
    <w:rsid w:val="00C42A15"/>
    <w:rsid w:val="00C63A58"/>
    <w:rsid w:val="00D86773"/>
    <w:rsid w:val="00D94627"/>
    <w:rsid w:val="00D9771E"/>
    <w:rsid w:val="00E55905"/>
    <w:rsid w:val="00EB0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F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2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C2"/>
    <w:rPr>
      <w:color w:val="0000FF" w:themeColor="hyperlink"/>
      <w:u w:val="single"/>
    </w:rPr>
  </w:style>
  <w:style w:type="paragraph" w:customStyle="1" w:styleId="Body1">
    <w:name w:val="Body 1"/>
    <w:rsid w:val="002855C2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2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C2"/>
    <w:rPr>
      <w:color w:val="0000FF" w:themeColor="hyperlink"/>
      <w:u w:val="single"/>
    </w:rPr>
  </w:style>
  <w:style w:type="paragraph" w:customStyle="1" w:styleId="Body1">
    <w:name w:val="Body 1"/>
    <w:rsid w:val="002855C2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ualfriendshi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Washed-Waiting-Reflections-Faithfulness-Homosexuality/dp/031033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2015-04-21T20:04:00Z</dcterms:created>
  <dcterms:modified xsi:type="dcterms:W3CDTF">2015-04-21T20:04:00Z</dcterms:modified>
</cp:coreProperties>
</file>