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0DEB" w14:textId="10C2914F" w:rsidR="00162AC5" w:rsidRPr="003353B8" w:rsidRDefault="003353B8" w:rsidP="00162AC5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4D3933" wp14:editId="2C31434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424940" cy="1424940"/>
            <wp:effectExtent l="0" t="0" r="3810" b="3810"/>
            <wp:wrapSquare wrapText="bothSides"/>
            <wp:docPr id="1" name="Picture 1" descr="book-to-change-the-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-to-change-the-wor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AC5" w:rsidRPr="003353B8">
        <w:rPr>
          <w:rFonts w:asciiTheme="majorHAnsi" w:hAnsiTheme="majorHAnsi"/>
          <w:i/>
          <w:smallCaps/>
          <w:color w:val="auto"/>
          <w:sz w:val="22"/>
          <w:szCs w:val="22"/>
        </w:rPr>
        <w:t>To Change the World</w:t>
      </w:r>
    </w:p>
    <w:p w14:paraId="324ADD51" w14:textId="77777777" w:rsidR="00162AC5" w:rsidRPr="003353B8" w:rsidRDefault="00162AC5" w:rsidP="00162AC5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7D194A4F" w14:textId="77777777" w:rsidR="00162AC5" w:rsidRPr="003353B8" w:rsidRDefault="00162AC5" w:rsidP="00162AC5">
      <w:pPr>
        <w:pStyle w:val="Body1"/>
        <w:rPr>
          <w:rFonts w:asciiTheme="majorHAnsi" w:hAnsiTheme="majorHAnsi"/>
          <w:color w:val="auto"/>
          <w:sz w:val="22"/>
          <w:szCs w:val="22"/>
        </w:rPr>
      </w:pPr>
      <w:r w:rsidRPr="003353B8">
        <w:rPr>
          <w:rFonts w:asciiTheme="majorHAnsi" w:hAnsiTheme="majorHAnsi"/>
          <w:color w:val="auto"/>
          <w:sz w:val="22"/>
          <w:szCs w:val="22"/>
        </w:rPr>
        <w:t xml:space="preserve">James Davison Hunter, </w:t>
      </w:r>
      <w:hyperlink r:id="rId7" w:history="1">
        <w:r w:rsidRPr="003353B8">
          <w:rPr>
            <w:rStyle w:val="Hyperlink"/>
            <w:rFonts w:asciiTheme="majorHAnsi" w:hAnsiTheme="majorHAnsi"/>
            <w:i/>
            <w:sz w:val="22"/>
            <w:szCs w:val="22"/>
          </w:rPr>
          <w:t>To Change the World</w:t>
        </w:r>
        <w:r w:rsidR="00A91CD4" w:rsidRPr="003353B8">
          <w:rPr>
            <w:rStyle w:val="Hyperlink"/>
            <w:rFonts w:asciiTheme="majorHAnsi" w:hAnsiTheme="majorHAnsi"/>
            <w:i/>
            <w:sz w:val="22"/>
            <w:szCs w:val="22"/>
          </w:rPr>
          <w:t>: The Irony, Tragedy, and Possibility of Christianity in the Late Modern World</w:t>
        </w:r>
      </w:hyperlink>
      <w:r w:rsidRPr="003353B8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r w:rsidRPr="003353B8">
        <w:rPr>
          <w:rFonts w:asciiTheme="majorHAnsi" w:hAnsiTheme="majorHAnsi"/>
          <w:color w:val="auto"/>
          <w:sz w:val="22"/>
          <w:szCs w:val="22"/>
        </w:rPr>
        <w:t xml:space="preserve">(Oxford: Oxford University Press, 2010). </w:t>
      </w:r>
    </w:p>
    <w:p w14:paraId="4E44A964" w14:textId="77777777" w:rsidR="00162AC5" w:rsidRPr="003353B8" w:rsidRDefault="00162AC5" w:rsidP="00162AC5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3B23425C" w14:textId="77777777" w:rsidR="00162AC5" w:rsidRPr="003353B8" w:rsidRDefault="00162AC5" w:rsidP="00162AC5">
      <w:pPr>
        <w:rPr>
          <w:rFonts w:asciiTheme="majorHAnsi" w:hAnsiTheme="majorHAnsi"/>
          <w:b w:val="0"/>
          <w:sz w:val="22"/>
          <w:szCs w:val="22"/>
        </w:rPr>
      </w:pPr>
    </w:p>
    <w:p w14:paraId="52B5A5E0" w14:textId="77777777" w:rsidR="00162AC5" w:rsidRPr="003353B8" w:rsidRDefault="00162AC5" w:rsidP="00162AC5">
      <w:pPr>
        <w:rPr>
          <w:rFonts w:asciiTheme="majorHAnsi" w:hAnsiTheme="majorHAnsi"/>
          <w:b w:val="0"/>
          <w:sz w:val="22"/>
          <w:szCs w:val="22"/>
        </w:rPr>
      </w:pPr>
      <w:r w:rsidRPr="003353B8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3353B8">
        <w:rPr>
          <w:rFonts w:asciiTheme="majorHAnsi" w:hAnsiTheme="majorHAnsi"/>
          <w:b w:val="0"/>
          <w:sz w:val="22"/>
          <w:szCs w:val="22"/>
        </w:rPr>
        <w:t>:</w:t>
      </w:r>
    </w:p>
    <w:p w14:paraId="1DA97624" w14:textId="77777777" w:rsidR="00162AC5" w:rsidRPr="003353B8" w:rsidRDefault="00162AC5" w:rsidP="00162AC5">
      <w:pPr>
        <w:rPr>
          <w:rFonts w:asciiTheme="majorHAnsi" w:hAnsiTheme="majorHAnsi"/>
          <w:b w:val="0"/>
          <w:sz w:val="22"/>
          <w:szCs w:val="22"/>
        </w:rPr>
      </w:pPr>
    </w:p>
    <w:p w14:paraId="3AC3C403" w14:textId="3FFECCA1" w:rsidR="0064515E" w:rsidRPr="003353B8" w:rsidRDefault="0064515E" w:rsidP="00162AC5">
      <w:pPr>
        <w:rPr>
          <w:rFonts w:asciiTheme="majorHAnsi" w:hAnsiTheme="majorHAnsi"/>
          <w:b w:val="0"/>
          <w:sz w:val="22"/>
          <w:szCs w:val="22"/>
        </w:rPr>
      </w:pPr>
      <w:r w:rsidRPr="003353B8">
        <w:rPr>
          <w:rFonts w:asciiTheme="majorHAnsi" w:hAnsiTheme="majorHAnsi"/>
          <w:b w:val="0"/>
          <w:sz w:val="22"/>
          <w:szCs w:val="22"/>
        </w:rPr>
        <w:t>Dr. Hunter is a sociology professor at UVA, and his vocational expertise certainly comes out in this book, though not enough to over-burden the</w:t>
      </w:r>
      <w:bookmarkStart w:id="0" w:name="_GoBack"/>
      <w:bookmarkEnd w:id="0"/>
      <w:r w:rsidRPr="003353B8">
        <w:rPr>
          <w:rFonts w:asciiTheme="majorHAnsi" w:hAnsiTheme="majorHAnsi"/>
          <w:b w:val="0"/>
          <w:sz w:val="22"/>
          <w:szCs w:val="22"/>
        </w:rPr>
        <w:t xml:space="preserve"> reader with </w:t>
      </w:r>
      <w:r w:rsidR="00E51282" w:rsidRPr="003353B8">
        <w:rPr>
          <w:rFonts w:asciiTheme="majorHAnsi" w:hAnsiTheme="majorHAnsi"/>
          <w:b w:val="0"/>
          <w:sz w:val="22"/>
          <w:szCs w:val="22"/>
        </w:rPr>
        <w:t xml:space="preserve">distracting jargon, for his writing style is direct and evocative. </w:t>
      </w:r>
      <w:r w:rsidRPr="003353B8">
        <w:rPr>
          <w:rFonts w:asciiTheme="majorHAnsi" w:hAnsiTheme="majorHAnsi"/>
          <w:b w:val="0"/>
          <w:sz w:val="22"/>
          <w:szCs w:val="22"/>
        </w:rPr>
        <w:t>He divid</w:t>
      </w:r>
      <w:r w:rsidR="00E51282" w:rsidRPr="003353B8">
        <w:rPr>
          <w:rFonts w:asciiTheme="majorHAnsi" w:hAnsiTheme="majorHAnsi"/>
          <w:b w:val="0"/>
          <w:sz w:val="22"/>
          <w:szCs w:val="22"/>
        </w:rPr>
        <w:t>es his book into three essays where h</w:t>
      </w:r>
      <w:r w:rsidRPr="003353B8">
        <w:rPr>
          <w:rFonts w:asciiTheme="majorHAnsi" w:hAnsiTheme="majorHAnsi"/>
          <w:b w:val="0"/>
          <w:sz w:val="22"/>
          <w:szCs w:val="22"/>
        </w:rPr>
        <w:t>e highlights the failure and folly of Christians who attempt to change the world through political engagement,</w:t>
      </w:r>
      <w:r w:rsidR="00E51282" w:rsidRPr="003353B8">
        <w:rPr>
          <w:rFonts w:asciiTheme="majorHAnsi" w:hAnsiTheme="majorHAnsi"/>
          <w:b w:val="0"/>
          <w:sz w:val="22"/>
          <w:szCs w:val="22"/>
        </w:rPr>
        <w:t xml:space="preserve"> those who compromise the faith to be accepted, and those who extract themselves from “secular” culture in favor of Christian isolationism</w:t>
      </w:r>
      <w:r w:rsidRPr="003353B8">
        <w:rPr>
          <w:rFonts w:asciiTheme="majorHAnsi" w:hAnsiTheme="majorHAnsi"/>
          <w:b w:val="0"/>
          <w:sz w:val="22"/>
          <w:szCs w:val="22"/>
        </w:rPr>
        <w:t xml:space="preserve">. Hunter offers an alternative framework </w:t>
      </w:r>
      <w:r w:rsidR="00E52C7F" w:rsidRPr="003353B8">
        <w:rPr>
          <w:rFonts w:asciiTheme="majorHAnsi" w:hAnsiTheme="majorHAnsi"/>
          <w:b w:val="0"/>
          <w:sz w:val="22"/>
          <w:szCs w:val="22"/>
        </w:rPr>
        <w:t xml:space="preserve">of culture </w:t>
      </w:r>
      <w:r w:rsidRPr="003353B8">
        <w:rPr>
          <w:rFonts w:asciiTheme="majorHAnsi" w:hAnsiTheme="majorHAnsi"/>
          <w:b w:val="0"/>
          <w:sz w:val="22"/>
          <w:szCs w:val="22"/>
        </w:rPr>
        <w:t xml:space="preserve">where </w:t>
      </w:r>
      <w:r w:rsidR="00E51282" w:rsidRPr="003353B8">
        <w:rPr>
          <w:rFonts w:asciiTheme="majorHAnsi" w:hAnsiTheme="majorHAnsi"/>
          <w:b w:val="0"/>
          <w:sz w:val="22"/>
          <w:szCs w:val="22"/>
        </w:rPr>
        <w:t>Christians</w:t>
      </w:r>
      <w:r w:rsidRPr="003353B8">
        <w:rPr>
          <w:rFonts w:asciiTheme="majorHAnsi" w:hAnsiTheme="majorHAnsi"/>
          <w:b w:val="0"/>
          <w:sz w:val="22"/>
          <w:szCs w:val="22"/>
        </w:rPr>
        <w:t xml:space="preserve"> engage with the world as a “faithful presence.”</w:t>
      </w:r>
    </w:p>
    <w:p w14:paraId="09260EE9" w14:textId="77777777" w:rsidR="00162AC5" w:rsidRPr="003353B8" w:rsidRDefault="00162AC5" w:rsidP="00162AC5">
      <w:pPr>
        <w:rPr>
          <w:rFonts w:asciiTheme="majorHAnsi" w:hAnsiTheme="majorHAnsi"/>
          <w:b w:val="0"/>
          <w:sz w:val="22"/>
          <w:szCs w:val="22"/>
        </w:rPr>
      </w:pPr>
    </w:p>
    <w:p w14:paraId="1416AD3B" w14:textId="77777777" w:rsidR="00162AC5" w:rsidRPr="003353B8" w:rsidRDefault="00162AC5" w:rsidP="00162AC5">
      <w:pPr>
        <w:rPr>
          <w:rFonts w:asciiTheme="majorHAnsi" w:hAnsiTheme="majorHAnsi"/>
          <w:b w:val="0"/>
          <w:sz w:val="22"/>
          <w:szCs w:val="22"/>
        </w:rPr>
      </w:pPr>
      <w:r w:rsidRPr="003353B8">
        <w:rPr>
          <w:rFonts w:asciiTheme="majorHAnsi" w:hAnsiTheme="majorHAnsi"/>
          <w:b w:val="0"/>
          <w:sz w:val="22"/>
          <w:szCs w:val="22"/>
          <w:u w:val="single"/>
        </w:rPr>
        <w:t>Themes</w:t>
      </w:r>
      <w:r w:rsidRPr="003353B8">
        <w:rPr>
          <w:rFonts w:asciiTheme="majorHAnsi" w:hAnsiTheme="majorHAnsi"/>
          <w:b w:val="0"/>
          <w:sz w:val="22"/>
          <w:szCs w:val="22"/>
        </w:rPr>
        <w:t>:</w:t>
      </w:r>
    </w:p>
    <w:p w14:paraId="1F57A85D" w14:textId="77777777" w:rsidR="000E2B59" w:rsidRPr="003353B8" w:rsidRDefault="000E2B59" w:rsidP="00162AC5">
      <w:pPr>
        <w:rPr>
          <w:rFonts w:asciiTheme="majorHAnsi" w:hAnsiTheme="majorHAnsi"/>
          <w:b w:val="0"/>
          <w:sz w:val="22"/>
          <w:szCs w:val="22"/>
        </w:rPr>
      </w:pPr>
    </w:p>
    <w:p w14:paraId="00E2C44B" w14:textId="707DE99F" w:rsidR="000E2B59" w:rsidRPr="003353B8" w:rsidRDefault="00E52C7F" w:rsidP="000E2B59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3353B8">
        <w:rPr>
          <w:rFonts w:asciiTheme="majorHAnsi" w:hAnsiTheme="majorHAnsi"/>
          <w:sz w:val="22"/>
          <w:szCs w:val="22"/>
        </w:rPr>
        <w:t>World-changing</w:t>
      </w:r>
      <w:r w:rsidRPr="003353B8">
        <w:rPr>
          <w:rFonts w:asciiTheme="majorHAnsi" w:hAnsiTheme="majorHAnsi"/>
          <w:b w:val="0"/>
          <w:sz w:val="22"/>
          <w:szCs w:val="22"/>
        </w:rPr>
        <w:t xml:space="preserve">. </w:t>
      </w:r>
      <w:r w:rsidR="000E2B59" w:rsidRPr="003353B8">
        <w:rPr>
          <w:rFonts w:asciiTheme="majorHAnsi" w:hAnsiTheme="majorHAnsi"/>
          <w:b w:val="0"/>
          <w:sz w:val="22"/>
          <w:szCs w:val="22"/>
        </w:rPr>
        <w:t>Social change is most often pursued through means that attempt to alter the “hearts and minds” of the people. History shows that this view is flawed.</w:t>
      </w:r>
    </w:p>
    <w:p w14:paraId="2C404592" w14:textId="4DA4C340" w:rsidR="000E2B59" w:rsidRPr="003353B8" w:rsidRDefault="00E52C7F" w:rsidP="000E2B59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3353B8">
        <w:rPr>
          <w:rFonts w:asciiTheme="majorHAnsi" w:hAnsiTheme="majorHAnsi"/>
          <w:sz w:val="22"/>
          <w:szCs w:val="22"/>
        </w:rPr>
        <w:t>Culture as institutions</w:t>
      </w:r>
      <w:r w:rsidRPr="003353B8">
        <w:rPr>
          <w:rFonts w:asciiTheme="majorHAnsi" w:hAnsiTheme="majorHAnsi"/>
          <w:b w:val="0"/>
          <w:sz w:val="22"/>
          <w:szCs w:val="22"/>
        </w:rPr>
        <w:t xml:space="preserve">. </w:t>
      </w:r>
      <w:r w:rsidR="000E2B59" w:rsidRPr="003353B8">
        <w:rPr>
          <w:rFonts w:asciiTheme="majorHAnsi" w:hAnsiTheme="majorHAnsi"/>
          <w:b w:val="0"/>
          <w:sz w:val="22"/>
          <w:szCs w:val="22"/>
        </w:rPr>
        <w:t>Change most often comes from elites acting in influential institutions, “high-prestige centers of cultural production.”</w:t>
      </w:r>
    </w:p>
    <w:p w14:paraId="49959760" w14:textId="76B983B0" w:rsidR="000E2B59" w:rsidRPr="003353B8" w:rsidRDefault="00366E7B" w:rsidP="000E2B59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3353B8">
        <w:rPr>
          <w:rFonts w:asciiTheme="majorHAnsi" w:hAnsiTheme="majorHAnsi"/>
          <w:sz w:val="22"/>
          <w:szCs w:val="22"/>
        </w:rPr>
        <w:t>Power</w:t>
      </w:r>
      <w:r w:rsidRPr="003353B8">
        <w:rPr>
          <w:rFonts w:asciiTheme="majorHAnsi" w:hAnsiTheme="majorHAnsi"/>
          <w:b w:val="0"/>
          <w:sz w:val="22"/>
          <w:szCs w:val="22"/>
        </w:rPr>
        <w:t xml:space="preserve">. </w:t>
      </w:r>
      <w:r w:rsidR="000E2B59" w:rsidRPr="003353B8">
        <w:rPr>
          <w:rFonts w:asciiTheme="majorHAnsi" w:hAnsiTheme="majorHAnsi"/>
          <w:b w:val="0"/>
          <w:sz w:val="22"/>
          <w:szCs w:val="22"/>
        </w:rPr>
        <w:t xml:space="preserve">Power is more than “conquest and domination,” more than political power. </w:t>
      </w:r>
    </w:p>
    <w:p w14:paraId="29786FAD" w14:textId="68F79002" w:rsidR="00E52C7F" w:rsidRPr="003353B8" w:rsidRDefault="00EC5444" w:rsidP="000E2B59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3353B8">
        <w:rPr>
          <w:rFonts w:asciiTheme="majorHAnsi" w:hAnsiTheme="majorHAnsi"/>
          <w:sz w:val="22"/>
          <w:szCs w:val="22"/>
        </w:rPr>
        <w:t>Cultural engagement</w:t>
      </w:r>
      <w:r w:rsidR="00366E7B" w:rsidRPr="003353B8">
        <w:rPr>
          <w:rFonts w:asciiTheme="majorHAnsi" w:hAnsiTheme="majorHAnsi"/>
          <w:b w:val="0"/>
          <w:sz w:val="22"/>
          <w:szCs w:val="22"/>
        </w:rPr>
        <w:t xml:space="preserve">. </w:t>
      </w:r>
      <w:r w:rsidR="001E1EB6" w:rsidRPr="003353B8">
        <w:rPr>
          <w:rFonts w:asciiTheme="majorHAnsi" w:hAnsiTheme="majorHAnsi"/>
          <w:b w:val="0"/>
          <w:sz w:val="22"/>
          <w:szCs w:val="22"/>
        </w:rPr>
        <w:t xml:space="preserve">Theological consideration for “faithful presence” is examined in </w:t>
      </w:r>
      <w:r w:rsidR="00E52C7F" w:rsidRPr="003353B8">
        <w:rPr>
          <w:rFonts w:asciiTheme="majorHAnsi" w:hAnsiTheme="majorHAnsi"/>
          <w:b w:val="0"/>
          <w:sz w:val="22"/>
          <w:szCs w:val="22"/>
        </w:rPr>
        <w:t xml:space="preserve">the creation mandate, </w:t>
      </w:r>
      <w:r w:rsidR="001E1EB6" w:rsidRPr="003353B8">
        <w:rPr>
          <w:rFonts w:asciiTheme="majorHAnsi" w:hAnsiTheme="majorHAnsi"/>
          <w:b w:val="0"/>
          <w:sz w:val="22"/>
          <w:szCs w:val="22"/>
        </w:rPr>
        <w:t xml:space="preserve">the </w:t>
      </w:r>
      <w:r w:rsidR="00E52C7F" w:rsidRPr="003353B8">
        <w:rPr>
          <w:rFonts w:asciiTheme="majorHAnsi" w:hAnsiTheme="majorHAnsi"/>
          <w:b w:val="0"/>
          <w:sz w:val="22"/>
          <w:szCs w:val="22"/>
        </w:rPr>
        <w:t>Great Commission,</w:t>
      </w:r>
      <w:r w:rsidR="001E1EB6" w:rsidRPr="003353B8">
        <w:rPr>
          <w:rFonts w:asciiTheme="majorHAnsi" w:hAnsiTheme="majorHAnsi"/>
          <w:b w:val="0"/>
          <w:sz w:val="22"/>
          <w:szCs w:val="22"/>
        </w:rPr>
        <w:t xml:space="preserve"> the</w:t>
      </w:r>
      <w:r w:rsidR="00E52C7F" w:rsidRPr="003353B8">
        <w:rPr>
          <w:rFonts w:asciiTheme="majorHAnsi" w:hAnsiTheme="majorHAnsi"/>
          <w:b w:val="0"/>
          <w:sz w:val="22"/>
          <w:szCs w:val="22"/>
        </w:rPr>
        <w:t xml:space="preserve"> </w:t>
      </w:r>
      <w:r w:rsidR="00E52C7F" w:rsidRPr="003353B8">
        <w:rPr>
          <w:rFonts w:asciiTheme="majorHAnsi" w:hAnsiTheme="majorHAnsi"/>
          <w:b w:val="0"/>
          <w:i/>
          <w:sz w:val="22"/>
          <w:szCs w:val="22"/>
        </w:rPr>
        <w:t>imago Dei</w:t>
      </w:r>
      <w:r w:rsidR="00E52C7F" w:rsidRPr="003353B8">
        <w:rPr>
          <w:rFonts w:asciiTheme="majorHAnsi" w:hAnsiTheme="majorHAnsi"/>
          <w:b w:val="0"/>
          <w:sz w:val="22"/>
          <w:szCs w:val="22"/>
        </w:rPr>
        <w:t xml:space="preserve">, and </w:t>
      </w:r>
      <w:r w:rsidR="001E1EB6" w:rsidRPr="003353B8">
        <w:rPr>
          <w:rFonts w:asciiTheme="majorHAnsi" w:hAnsiTheme="majorHAnsi"/>
          <w:b w:val="0"/>
          <w:sz w:val="22"/>
          <w:szCs w:val="22"/>
        </w:rPr>
        <w:t xml:space="preserve">the exilic passage </w:t>
      </w:r>
      <w:r w:rsidR="00E52C7F" w:rsidRPr="003353B8">
        <w:rPr>
          <w:rFonts w:asciiTheme="majorHAnsi" w:hAnsiTheme="majorHAnsi"/>
          <w:b w:val="0"/>
          <w:sz w:val="22"/>
          <w:szCs w:val="22"/>
        </w:rPr>
        <w:t>Jeremiah 29.</w:t>
      </w:r>
    </w:p>
    <w:p w14:paraId="450066D5" w14:textId="77777777" w:rsidR="00162AC5" w:rsidRPr="003353B8" w:rsidRDefault="00162AC5" w:rsidP="00162AC5">
      <w:pPr>
        <w:rPr>
          <w:rFonts w:asciiTheme="majorHAnsi" w:hAnsiTheme="majorHAnsi"/>
          <w:b w:val="0"/>
          <w:sz w:val="22"/>
          <w:szCs w:val="22"/>
        </w:rPr>
      </w:pPr>
    </w:p>
    <w:p w14:paraId="3B75CE46" w14:textId="77777777" w:rsidR="00162AC5" w:rsidRPr="003353B8" w:rsidRDefault="00162AC5" w:rsidP="00162AC5">
      <w:pPr>
        <w:rPr>
          <w:rFonts w:asciiTheme="majorHAnsi" w:hAnsiTheme="majorHAnsi"/>
          <w:b w:val="0"/>
          <w:sz w:val="22"/>
          <w:szCs w:val="22"/>
        </w:rPr>
      </w:pPr>
      <w:r w:rsidRPr="003353B8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3353B8">
        <w:rPr>
          <w:rFonts w:asciiTheme="majorHAnsi" w:hAnsiTheme="majorHAnsi"/>
          <w:b w:val="0"/>
          <w:sz w:val="22"/>
          <w:szCs w:val="22"/>
        </w:rPr>
        <w:t>:</w:t>
      </w:r>
    </w:p>
    <w:p w14:paraId="3177258D" w14:textId="77777777" w:rsidR="00162AC5" w:rsidRPr="003353B8" w:rsidRDefault="00162AC5" w:rsidP="00162AC5">
      <w:pPr>
        <w:rPr>
          <w:rFonts w:asciiTheme="majorHAnsi" w:hAnsiTheme="majorHAnsi"/>
          <w:b w:val="0"/>
          <w:sz w:val="22"/>
          <w:szCs w:val="22"/>
        </w:rPr>
      </w:pPr>
    </w:p>
    <w:p w14:paraId="7D18AA52" w14:textId="5BE115C0" w:rsidR="0097007D" w:rsidRPr="003353B8" w:rsidRDefault="0097007D" w:rsidP="0097007D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  <w:sz w:val="22"/>
          <w:szCs w:val="22"/>
        </w:rPr>
      </w:pPr>
      <w:r w:rsidRPr="003353B8">
        <w:rPr>
          <w:rFonts w:asciiTheme="majorHAnsi" w:hAnsiTheme="majorHAnsi"/>
          <w:b w:val="0"/>
          <w:sz w:val="22"/>
          <w:szCs w:val="22"/>
        </w:rPr>
        <w:t xml:space="preserve">What is the book’s tone? Is it too combative and contrarian, or not enough? </w:t>
      </w:r>
    </w:p>
    <w:p w14:paraId="6F8A55AA" w14:textId="77777777" w:rsidR="0097007D" w:rsidRPr="003353B8" w:rsidRDefault="0097007D" w:rsidP="0097007D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  <w:sz w:val="22"/>
          <w:szCs w:val="22"/>
        </w:rPr>
      </w:pPr>
      <w:r w:rsidRPr="003353B8">
        <w:rPr>
          <w:rFonts w:asciiTheme="majorHAnsi" w:hAnsiTheme="majorHAnsi"/>
          <w:b w:val="0"/>
          <w:sz w:val="22"/>
          <w:szCs w:val="22"/>
        </w:rPr>
        <w:t>Why should we abandon language regarding “changing the world,” “redeeming the culture,” or “advancing/building the kingdom”?</w:t>
      </w:r>
    </w:p>
    <w:p w14:paraId="77E5BF31" w14:textId="325360DC" w:rsidR="00511D1D" w:rsidRPr="003353B8" w:rsidRDefault="00511D1D" w:rsidP="001E1EB6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  <w:sz w:val="22"/>
          <w:szCs w:val="22"/>
        </w:rPr>
      </w:pPr>
      <w:r w:rsidRPr="003353B8">
        <w:rPr>
          <w:rFonts w:asciiTheme="majorHAnsi" w:hAnsiTheme="majorHAnsi"/>
          <w:b w:val="0"/>
          <w:sz w:val="22"/>
          <w:szCs w:val="22"/>
        </w:rPr>
        <w:t>What are the dangers of overemphasizing “values,” “worldviews,” and “artifacts”?</w:t>
      </w:r>
    </w:p>
    <w:p w14:paraId="152C7AF4" w14:textId="2F4EF729" w:rsidR="000E2B59" w:rsidRPr="003353B8" w:rsidRDefault="000E2B59" w:rsidP="001E1EB6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  <w:sz w:val="22"/>
          <w:szCs w:val="22"/>
        </w:rPr>
      </w:pPr>
      <w:r w:rsidRPr="003353B8">
        <w:rPr>
          <w:rFonts w:asciiTheme="majorHAnsi" w:hAnsiTheme="majorHAnsi"/>
          <w:b w:val="0"/>
          <w:sz w:val="22"/>
          <w:szCs w:val="22"/>
        </w:rPr>
        <w:t>Do you agree with and/or see evidence in culture of Hunter’s classification of Christian attempts to change the world: the Christian Right (“defensive against”), the Christian Left (“relevance to”), and the neo-Anabaptists (“purity from”)?</w:t>
      </w:r>
    </w:p>
    <w:p w14:paraId="05E93EB2" w14:textId="31ADF6EA" w:rsidR="00511D1D" w:rsidRPr="003353B8" w:rsidRDefault="00511D1D" w:rsidP="001E1EB6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  <w:sz w:val="22"/>
          <w:szCs w:val="22"/>
        </w:rPr>
      </w:pPr>
      <w:r w:rsidRPr="003353B8">
        <w:rPr>
          <w:rFonts w:asciiTheme="majorHAnsi" w:hAnsiTheme="majorHAnsi"/>
          <w:b w:val="0"/>
          <w:sz w:val="22"/>
          <w:szCs w:val="22"/>
        </w:rPr>
        <w:t xml:space="preserve">How can people participate in the proposal to be a “faithful presence within” as part of </w:t>
      </w:r>
      <w:r w:rsidR="00135793" w:rsidRPr="003353B8">
        <w:rPr>
          <w:rFonts w:asciiTheme="majorHAnsi" w:hAnsiTheme="majorHAnsi"/>
          <w:b w:val="0"/>
          <w:sz w:val="22"/>
          <w:szCs w:val="22"/>
        </w:rPr>
        <w:t xml:space="preserve">acts of </w:t>
      </w:r>
      <w:r w:rsidRPr="003353B8">
        <w:rPr>
          <w:rFonts w:asciiTheme="majorHAnsi" w:hAnsiTheme="majorHAnsi"/>
          <w:b w:val="0"/>
          <w:sz w:val="22"/>
          <w:szCs w:val="22"/>
        </w:rPr>
        <w:t>shalom</w:t>
      </w:r>
      <w:r w:rsidR="00135793" w:rsidRPr="003353B8">
        <w:rPr>
          <w:rFonts w:asciiTheme="majorHAnsi" w:hAnsiTheme="majorHAnsi"/>
          <w:b w:val="0"/>
          <w:sz w:val="22"/>
          <w:szCs w:val="22"/>
        </w:rPr>
        <w:t xml:space="preserve"> and a “new city commons”</w:t>
      </w:r>
      <w:r w:rsidRPr="003353B8">
        <w:rPr>
          <w:rFonts w:asciiTheme="majorHAnsi" w:hAnsiTheme="majorHAnsi"/>
          <w:b w:val="0"/>
          <w:sz w:val="22"/>
          <w:szCs w:val="22"/>
        </w:rPr>
        <w:t>?</w:t>
      </w:r>
    </w:p>
    <w:p w14:paraId="2B67B811" w14:textId="77777777" w:rsidR="007C0367" w:rsidRPr="003353B8" w:rsidRDefault="007C0367" w:rsidP="001E1EB6">
      <w:pPr>
        <w:pStyle w:val="ListParagraph"/>
        <w:rPr>
          <w:rFonts w:asciiTheme="majorHAnsi" w:hAnsiTheme="majorHAnsi"/>
          <w:b w:val="0"/>
          <w:sz w:val="22"/>
          <w:szCs w:val="22"/>
        </w:rPr>
      </w:pPr>
    </w:p>
    <w:p w14:paraId="42E86F0F" w14:textId="77777777" w:rsidR="00162AC5" w:rsidRPr="003353B8" w:rsidRDefault="00162AC5" w:rsidP="008B534F">
      <w:pPr>
        <w:rPr>
          <w:rFonts w:asciiTheme="majorHAnsi" w:hAnsiTheme="majorHAnsi"/>
          <w:b w:val="0"/>
          <w:sz w:val="22"/>
          <w:szCs w:val="22"/>
        </w:rPr>
      </w:pPr>
    </w:p>
    <w:p w14:paraId="56B09E85" w14:textId="77777777" w:rsidR="00162AC5" w:rsidRPr="003353B8" w:rsidRDefault="00162AC5" w:rsidP="00162AC5">
      <w:pPr>
        <w:pStyle w:val="ListParagraph"/>
        <w:rPr>
          <w:rFonts w:asciiTheme="majorHAnsi" w:hAnsiTheme="majorHAnsi" w:cs="Arial"/>
          <w:b w:val="0"/>
          <w:color w:val="1A1A1A"/>
          <w:sz w:val="22"/>
          <w:szCs w:val="22"/>
        </w:rPr>
      </w:pPr>
    </w:p>
    <w:p w14:paraId="50BE3413" w14:textId="77777777" w:rsidR="00162AC5" w:rsidRPr="003353B8" w:rsidRDefault="00162AC5" w:rsidP="00162AC5">
      <w:pPr>
        <w:pStyle w:val="ListParagraph"/>
        <w:rPr>
          <w:rFonts w:asciiTheme="majorHAnsi" w:hAnsiTheme="majorHAnsi" w:cs="Arial"/>
          <w:b w:val="0"/>
          <w:color w:val="1A1A1A"/>
          <w:sz w:val="22"/>
          <w:szCs w:val="22"/>
        </w:rPr>
      </w:pPr>
    </w:p>
    <w:p w14:paraId="2BE09BFD" w14:textId="77777777" w:rsidR="00162AC5" w:rsidRPr="003353B8" w:rsidRDefault="00162AC5" w:rsidP="00162AC5">
      <w:pPr>
        <w:rPr>
          <w:rFonts w:asciiTheme="majorHAnsi" w:hAnsiTheme="majorHAnsi"/>
          <w:b w:val="0"/>
          <w:sz w:val="22"/>
          <w:szCs w:val="22"/>
        </w:rPr>
      </w:pPr>
    </w:p>
    <w:p w14:paraId="62CCFFA4" w14:textId="77777777" w:rsidR="00162AC5" w:rsidRPr="003353B8" w:rsidRDefault="00162AC5" w:rsidP="00162AC5">
      <w:pPr>
        <w:widowControl w:val="0"/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</w:p>
    <w:p w14:paraId="6D782266" w14:textId="77777777" w:rsidR="00162AC5" w:rsidRPr="003353B8" w:rsidRDefault="00162AC5" w:rsidP="00162AC5">
      <w:pPr>
        <w:rPr>
          <w:rFonts w:asciiTheme="majorHAnsi" w:hAnsiTheme="majorHAnsi"/>
          <w:b w:val="0"/>
          <w:sz w:val="22"/>
          <w:szCs w:val="22"/>
        </w:rPr>
      </w:pPr>
    </w:p>
    <w:p w14:paraId="34CC8B81" w14:textId="77777777" w:rsidR="00162AC5" w:rsidRPr="003353B8" w:rsidRDefault="00162AC5" w:rsidP="00162AC5">
      <w:pPr>
        <w:rPr>
          <w:rFonts w:asciiTheme="majorHAnsi" w:hAnsiTheme="majorHAnsi"/>
          <w:b w:val="0"/>
          <w:sz w:val="22"/>
          <w:szCs w:val="22"/>
        </w:rPr>
      </w:pPr>
    </w:p>
    <w:p w14:paraId="2610B5CC" w14:textId="77777777" w:rsidR="000004E0" w:rsidRPr="003353B8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3353B8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F1"/>
    <w:multiLevelType w:val="hybridMultilevel"/>
    <w:tmpl w:val="AA4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5617"/>
    <w:multiLevelType w:val="hybridMultilevel"/>
    <w:tmpl w:val="146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C565A"/>
    <w:multiLevelType w:val="hybridMultilevel"/>
    <w:tmpl w:val="AD1E0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771B8"/>
    <w:multiLevelType w:val="hybridMultilevel"/>
    <w:tmpl w:val="050A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448CC"/>
    <w:multiLevelType w:val="hybridMultilevel"/>
    <w:tmpl w:val="1596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C5"/>
    <w:rsid w:val="000004E0"/>
    <w:rsid w:val="00094D56"/>
    <w:rsid w:val="000E2B59"/>
    <w:rsid w:val="00135793"/>
    <w:rsid w:val="00162AC5"/>
    <w:rsid w:val="001E1EB6"/>
    <w:rsid w:val="003353B8"/>
    <w:rsid w:val="00366E7B"/>
    <w:rsid w:val="00511D1D"/>
    <w:rsid w:val="0064515E"/>
    <w:rsid w:val="007C0367"/>
    <w:rsid w:val="008B534F"/>
    <w:rsid w:val="0097007D"/>
    <w:rsid w:val="00A91CD4"/>
    <w:rsid w:val="00E51282"/>
    <w:rsid w:val="00E52C7F"/>
    <w:rsid w:val="00EC5444"/>
    <w:rsid w:val="00FF7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B7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C5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AC5"/>
    <w:rPr>
      <w:color w:val="0000FF" w:themeColor="hyperlink"/>
      <w:u w:val="single"/>
    </w:rPr>
  </w:style>
  <w:style w:type="paragraph" w:customStyle="1" w:styleId="Body1">
    <w:name w:val="Body 1"/>
    <w:rsid w:val="00162AC5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B8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C5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AC5"/>
    <w:rPr>
      <w:color w:val="0000FF" w:themeColor="hyperlink"/>
      <w:u w:val="single"/>
    </w:rPr>
  </w:style>
  <w:style w:type="paragraph" w:customStyle="1" w:styleId="Body1">
    <w:name w:val="Body 1"/>
    <w:rsid w:val="00162AC5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B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Change-World-Tragedy-Possibility-Christianity/dp/0199730806/ref=sr_1_1?s=books&amp;ie=UTF8&amp;qid=1411740717&amp;sr=1-1&amp;keywords=to+change+the+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2015-04-21T19:47:00Z</dcterms:created>
  <dcterms:modified xsi:type="dcterms:W3CDTF">2015-04-21T19:47:00Z</dcterms:modified>
</cp:coreProperties>
</file>